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>
  <w:body>
    <w:p>
      <w:pPr>
        <w:jc w:val="center"/>
        <w:spacing w:before="0" w:after="50" w:line="276" w:lineRule="auto"/>
      </w:pPr>
      <w:r>
        <w:rPr>
          <w:rFonts w:ascii="isocpeur" w:hAnsi="isocpeur" w:cs="isocpeur"/>
          <w:b/>
          <w:color w:val="164B78"/>
          <w:sz w:val="34"/>
          <w:szCs w:val="34"/>
        </w:rPr>
        <w:t xml:space="preserve">ПРОВЕРОЧНЫЙ ДОКУМЕНТ</w:t>
      </w:r>
    </w:p>
    <w:p>
      <w:pPr>
        <w:jc w:val="center"/>
        <w:spacing w:before="0" w:after="80" w:line="276" w:lineRule="auto"/>
      </w:pPr>
      <w:r>
        <w:rPr>
          <w:rFonts w:ascii="isocpeur" w:hAnsi="isocpeur" w:cs="isocpeur"/>
          <w:b/>
          <w:color w:val="1D2630"/>
          <w:sz w:val="27"/>
          <w:szCs w:val="27"/>
        </w:rPr>
        <w:t xml:space="preserve">расчётного сервиса противодымной вентиляции</w:t>
      </w:r>
    </w:p>
    <w:p>
      <w:pPr>
        <w:jc w:val="center"/>
        <w:spacing w:before="0" w:after="260" w:line="276" w:lineRule="auto"/>
      </w:pPr>
      <w:r>
        <w:rPr>
          <w:rFonts w:ascii="isocpeur" w:hAnsi="isocpeur" w:cs="isocpeur"/>
          <w:color w:val="1D2630"/>
          <w:sz w:val="22"/>
          <w:szCs w:val="22"/>
        </w:rPr>
        <w:t xml:space="preserve">Контроль арифметики по опубликованному примеру и трассируемые проверки современной реализации</w:t>
      </w:r>
    </w:p>
    <w:tbl>
      <w:tblPr>
        <w:tblW w:w="0" w:type="auto"/>
        <w:tblBorders>
          <w:top w:val="single" w:sz="4" w:space="0" w:color="7F8790"/>
          <w:left w:val="single" w:sz="4" w:space="0" w:color="7F8790"/>
          <w:bottom w:val="single" w:sz="4" w:space="0" w:color="7F8790"/>
          <w:right w:val="single" w:sz="4" w:space="0" w:color="7F8790"/>
          <w:insideH w:val="single" w:sz="4" w:space="0" w:color="7F8790"/>
          <w:insideV w:val="single" w:sz="4" w:space="0" w:color="7F8790"/>
        </w:tblBorders>
        <w:tblLayout w:type="fixed"/>
      </w:tblPr>
      <w:tblGrid>
        <w:gridCol w:w="3500"/>
        <w:gridCol w:w="5600"/>
      </w:tblGrid>
      <w:tr>
        <w:tc>
          <w:tcPr>
            <w:tcW w:w="3500" w:type="dxa"/>
            <w:shd w:val="clear" w:fill="DDEAF5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b/>
                <w:color w:val="1D2630"/>
                <w:sz w:val="19"/>
                <w:szCs w:val="19"/>
              </w:rPr>
              <w:t xml:space="preserve">Документ</w:t>
            </w:r>
          </w:p>
        </w:tc>
        <w:tc>
          <w:tcPr>
            <w:tcW w:w="5600" w:type="dxa"/>
            <w:shd w:val="clear" w:fill="DDEAF5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b/>
                <w:color w:val="1D2630"/>
                <w:sz w:val="19"/>
                <w:szCs w:val="19"/>
              </w:rPr>
              <w:t xml:space="preserve">Значение</w:t>
            </w:r>
          </w:p>
        </w:tc>
      </w:tr>
      <w:tr>
        <w:tc>
          <w:tcPr>
            <w:tcW w:w="35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Версия проверки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A62B2B"/>
                <w:sz w:val="19"/>
                <w:szCs w:val="19"/>
              </w:rPr>
              <w:t xml:space="preserve">1.0</w:t>
            </w:r>
          </w:p>
        </w:tc>
      </w:tr>
      <w:tr>
        <w:tc>
          <w:tcPr>
            <w:tcW w:w="35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Дата формирования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A62B2B"/>
                <w:sz w:val="19"/>
                <w:szCs w:val="19"/>
              </w:rPr>
              <w:t xml:space="preserve">24.08.2026</w:t>
            </w:r>
          </w:p>
        </w:tc>
      </w:tr>
      <w:tr>
        <w:tc>
          <w:tcPr>
            <w:tcW w:w="35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Итог</w:t>
            </w:r>
          </w:p>
        </w:tc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67A52"/>
                <w:sz w:val="19"/>
                <w:szCs w:val="19"/>
              </w:rPr>
              <w:t xml:space="preserve">ПРОЙДЕНО</w:t>
            </w:r>
          </w:p>
        </w:tc>
      </w:tr>
    </w:tbl>
    <w:p>
      <w:pPr>
        <w:spacing w:before="0" w:after="70" w:line="276" w:lineRule="auto"/>
      </w:pPr>
      <w:r>
        <w:rPr>
          <w:rFonts w:ascii="isocpeur" w:hAnsi="isocpeur" w:cs="isocpeur"/>
          <w:color w:val="1D2630"/>
          <w:sz w:val="21"/>
          <w:szCs w:val="21"/>
        </w:rPr>
        <w:t xml:space="preserve"/>
      </w:r>
    </w:p>
    <w:p>
      <w:pPr>
        <w:spacing w:before="80" w:after="120" w:line="276" w:lineRule="auto"/>
      </w:pPr>
      <w:r>
        <w:rPr>
          <w:rFonts w:ascii="isocpeur" w:hAnsi="isocpeur" w:cs="isocpeur"/>
          <w:b/>
          <w:color w:val="1D2630"/>
          <w:sz w:val="24"/>
          <w:szCs w:val="24"/>
        </w:rPr>
        <w:t xml:space="preserve">Назначение</w:t>
      </w:r>
    </w:p>
    <w:p>
      <w:pPr>
        <w:spacing w:before="0" w:after="110" w:line="276" w:lineRule="auto"/>
      </w:pPr>
      <w:r>
        <w:rPr>
          <w:rFonts w:ascii="isocpeur" w:hAnsi="isocpeur" w:cs="isocpeur"/>
          <w:color w:val="1D2630"/>
          <w:sz w:val="21"/>
          <w:szCs w:val="21"/>
        </w:rPr>
        <w:t xml:space="preserve">Документ отделён от динамического отчёта пользователя. Он фиксирует воспроизводимые контрольные вычисления, источники, допуски и ограничения сопоставления.</w:t>
      </w:r>
    </w:p>
    <w:p>
      <w:pPr>
        <w:spacing w:before="80" w:after="120" w:line="276" w:lineRule="auto"/>
      </w:pPr>
      <w:r>
        <w:rPr>
          <w:rFonts w:ascii="isocpeur" w:hAnsi="isocpeur" w:cs="isocpeur"/>
          <w:b/>
          <w:color w:val="1D2630"/>
          <w:sz w:val="24"/>
          <w:szCs w:val="24"/>
        </w:rPr>
        <w:t xml:space="preserve">Статус нормативных источников</w:t>
      </w:r>
    </w:p>
    <w:p>
      <w:pPr>
        <w:ind w:left="360" w:hanging="180"/>
        <w:spacing w:after="70"/>
      </w:pPr>
      <w:r>
        <w:rPr>
          <w:rFonts w:ascii="isocpeur" w:hAnsi="isocpeur" w:cs="isocpeur"/>
          <w:color w:val="1D2630"/>
          <w:sz w:val="21"/>
          <w:szCs w:val="21"/>
        </w:rPr>
        <w:t xml:space="preserve">• Основной источник текущего сервиса: «Методические рекомендации к СП 7.13130.2013. Расчётное определение основных параметров противодымной вентиляции зданий», ВНИИПО, 2013.</w:t>
      </w:r>
    </w:p>
    <w:p>
      <w:pPr>
        <w:ind w:left="360" w:hanging="180"/>
        <w:spacing w:after="70"/>
      </w:pPr>
      <w:r>
        <w:rPr>
          <w:rFonts w:ascii="isocpeur" w:hAnsi="isocpeur" w:cs="isocpeur"/>
          <w:color w:val="1D2630"/>
          <w:sz w:val="21"/>
          <w:szCs w:val="21"/>
        </w:rPr>
        <w:t xml:space="preserve">• Во введении издания 2013 года прямо указано, что численные примеры в публикацию не включены и предполагались отдельные пособия. Поэтому выдавать произвольный набор данных за опубликованный пример этой редакции нельзя.</w:t>
      </w:r>
    </w:p>
    <w:p>
      <w:pPr>
        <w:ind w:left="360" w:hanging="180"/>
        <w:spacing w:after="70"/>
      </w:pPr>
      <w:r>
        <w:rPr>
          <w:rFonts w:ascii="isocpeur" w:hAnsi="isocpeur" w:cs="isocpeur"/>
          <w:color w:val="1D2630"/>
          <w:sz w:val="21"/>
          <w:szCs w:val="21"/>
        </w:rPr>
        <w:t xml:space="preserve">• Для проверки воспроизведения опубликованной арифметики использован официальный исторический пример 1 из рекомендаций ЦНИИЭП жилища / ВНИИПО МВД СССР, Стройиздат, 1985, страницы 18–20.</w:t>
      </w:r>
    </w:p>
    <w:p>
      <w:pPr>
        <w:spacing w:before="0" w:after="110" w:line="276" w:lineRule="auto"/>
      </w:pPr>
      <w:r>
        <w:rPr>
          <w:rFonts w:ascii="isocpeur" w:hAnsi="isocpeur" w:cs="isocpeur"/>
          <w:b/>
          <w:color w:val="A62B2B"/>
          <w:sz w:val="21"/>
          <w:szCs w:val="21"/>
        </w:rPr>
        <w:t xml:space="preserve">Важно: методика 1985 года и методика к СП 7.13130.2013 используют разные расчётные схемы. Исторический пример проверяет арифметический и документирующий контур, но не является эталоном результатов современных формул (3)–(96).</w:t>
      </w:r>
    </w:p>
    <w:p>
      <w:pPr>
        <w:pageBreakBefore/>
        <w:spacing w:before="120" w:after="170" w:line="276" w:lineRule="auto"/>
      </w:pPr>
      <w:r>
        <w:rPr>
          <w:rFonts w:ascii="isocpeur" w:hAnsi="isocpeur" w:cs="isocpeur"/>
          <w:b/>
          <w:color w:val="164B78"/>
          <w:sz w:val="29"/>
          <w:szCs w:val="29"/>
        </w:rPr>
        <w:t xml:space="preserve">1. Опубликованный пример 1</w:t>
      </w:r>
    </w:p>
    <w:p>
      <w:pPr>
        <w:spacing w:before="0" w:after="110" w:line="276" w:lineRule="auto"/>
      </w:pPr>
      <w:r>
        <w:rPr>
          <w:rFonts w:ascii="isocpeur" w:hAnsi="isocpeur" w:cs="isocpeur"/>
          <w:color w:val="1D2630"/>
          <w:sz w:val="21"/>
          <w:szCs w:val="21"/>
        </w:rPr>
        <w:t xml:space="preserve">Источник: «Рекомендации по расчёту вентиляционных систем противодымной защиты жилых зданий повышенной этажности», ЦНИИЭП жилища и ВНИИПО МВД СССР, М.: Стройиздат, 1985, раздел 4, пример 1, стр. 18–20.</w:t>
      </w:r>
    </w:p>
    <w:tbl>
      <w:tblPr>
        <w:tblW w:w="0" w:type="auto"/>
        <w:tblBorders>
          <w:top w:val="single" w:sz="4" w:space="0" w:color="7F8790"/>
          <w:left w:val="single" w:sz="4" w:space="0" w:color="7F8790"/>
          <w:bottom w:val="single" w:sz="4" w:space="0" w:color="7F8790"/>
          <w:right w:val="single" w:sz="4" w:space="0" w:color="7F8790"/>
          <w:insideH w:val="single" w:sz="4" w:space="0" w:color="7F8790"/>
          <w:insideV w:val="single" w:sz="4" w:space="0" w:color="7F8790"/>
        </w:tblBorders>
        <w:tblLayout w:type="fixed"/>
      </w:tblPr>
      <w:tblGrid>
        <w:gridCol w:w="5200"/>
        <w:gridCol w:w="3900"/>
      </w:tblGrid>
      <w:tr>
        <w:tc>
          <w:tcPr>
            <w:tcW w:w="5200" w:type="dxa"/>
            <w:shd w:val="clear" w:fill="DDEAF5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b/>
                <w:color w:val="1D2630"/>
                <w:sz w:val="19"/>
                <w:szCs w:val="19"/>
              </w:rPr>
              <w:t xml:space="preserve">Исходная величина</w:t>
            </w:r>
          </w:p>
        </w:tc>
        <w:tc>
          <w:tcPr>
            <w:tcW w:w="3900" w:type="dxa"/>
            <w:shd w:val="clear" w:fill="DDEAF5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b/>
                <w:color w:val="1D2630"/>
                <w:sz w:val="19"/>
                <w:szCs w:val="19"/>
              </w:rPr>
              <w:t xml:space="preserve">Значение</w:t>
            </w:r>
          </w:p>
        </w:tc>
      </w:tr>
      <w:tr>
        <w:tc>
          <w:tcPr>
            <w:tcW w:w="52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Этажность N</w:t>
            </w:r>
          </w:p>
        </w:tc>
        <w:tc>
          <w:tcPr>
            <w:tcW w:w="39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16</w:t>
            </w:r>
          </w:p>
        </w:tc>
      </w:tr>
      <w:tr>
        <w:tc>
          <w:tcPr>
            <w:tcW w:w="52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Ширина двери B</w:t>
            </w:r>
          </w:p>
        </w:tc>
        <w:tc>
          <w:tcPr>
            <w:tcW w:w="39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0,85 м</w:t>
            </w:r>
          </w:p>
        </w:tc>
      </w:tr>
      <w:tr>
        <w:tc>
          <w:tcPr>
            <w:tcW w:w="52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Высота двери H</w:t>
            </w:r>
          </w:p>
        </w:tc>
        <w:tc>
          <w:tcPr>
            <w:tcW w:w="39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2,0 м</w:t>
            </w:r>
          </w:p>
        </w:tc>
      </w:tr>
      <w:tr>
        <w:tc>
          <w:tcPr>
            <w:tcW w:w="52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Плотность приточного воздуха ρ</w:t>
            </w:r>
          </w:p>
        </w:tc>
        <w:tc>
          <w:tcPr>
            <w:tcW w:w="39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1,29 кг/м³</w:t>
            </w:r>
          </w:p>
        </w:tc>
      </w:tr>
      <w:tr>
        <w:tc>
          <w:tcPr>
            <w:tcW w:w="52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Скорость в проёме v</w:t>
            </w:r>
          </w:p>
        </w:tc>
        <w:tc>
          <w:tcPr>
            <w:tcW w:w="39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2,1 м/с</w:t>
            </w:r>
          </w:p>
        </w:tc>
      </w:tr>
      <w:tr>
        <w:tc>
          <w:tcPr>
            <w:tcW w:w="52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Фильтрация по этажу</w:t>
            </w:r>
          </w:p>
        </w:tc>
        <w:tc>
          <w:tcPr>
            <w:tcW w:w="39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0,3 кг/с</w:t>
            </w:r>
          </w:p>
        </w:tc>
      </w:tr>
      <w:tr>
        <w:tc>
          <w:tcPr>
            <w:tcW w:w="52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Плотность газа в шахте</w:t>
            </w:r>
          </w:p>
        </w:tc>
        <w:tc>
          <w:tcPr>
            <w:tcW w:w="39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0,91 кг/м³</w:t>
            </w:r>
          </w:p>
        </w:tc>
      </w:tr>
    </w:tbl>
    <w:p>
      <w:pPr>
        <w:spacing w:before="0" w:after="70" w:line="276" w:lineRule="auto"/>
      </w:pPr>
      <w:r>
        <w:rPr>
          <w:rFonts w:ascii="isocpeur" w:hAnsi="isocpeur" w:cs="isocpeur"/>
          <w:color w:val="1D2630"/>
          <w:sz w:val="21"/>
          <w:szCs w:val="21"/>
        </w:rPr>
        <w:t xml:space="preserve"/>
      </w:r>
    </w:p>
    <w:p>
      <w:pPr>
        <w:spacing w:before="80" w:after="120" w:line="276" w:lineRule="auto"/>
      </w:pPr>
      <w:r>
        <w:rPr>
          <w:rFonts w:ascii="isocpeur" w:hAnsi="isocpeur" w:cs="isocpeur"/>
          <w:b/>
          <w:color w:val="1D2630"/>
          <w:sz w:val="24"/>
          <w:szCs w:val="24"/>
        </w:rPr>
        <w:t xml:space="preserve">Публикуемые контрольные результаты</w:t>
      </w:r>
    </w:p>
    <w:tbl>
      <w:tblPr>
        <w:tblW w:w="0" w:type="auto"/>
        <w:tblBorders>
          <w:top w:val="single" w:sz="4" w:space="0" w:color="7F8790"/>
          <w:left w:val="single" w:sz="4" w:space="0" w:color="7F8790"/>
          <w:bottom w:val="single" w:sz="4" w:space="0" w:color="7F8790"/>
          <w:right w:val="single" w:sz="4" w:space="0" w:color="7F8790"/>
          <w:insideH w:val="single" w:sz="4" w:space="0" w:color="7F8790"/>
          <w:insideV w:val="single" w:sz="4" w:space="0" w:color="7F8790"/>
        </w:tblBorders>
        <w:tblLayout w:type="fixed"/>
      </w:tblPr>
      <w:tblGrid>
        <w:gridCol w:w="5600"/>
        <w:gridCol w:w="3500"/>
      </w:tblGrid>
      <w:tr>
        <w:tc>
          <w:tcPr>
            <w:tcW w:w="5600" w:type="dxa"/>
            <w:shd w:val="clear" w:fill="DDEAF5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b/>
                <w:color w:val="1D2630"/>
                <w:sz w:val="19"/>
                <w:szCs w:val="19"/>
              </w:rPr>
              <w:t xml:space="preserve">Показатель</w:t>
            </w:r>
          </w:p>
        </w:tc>
        <w:tc>
          <w:tcPr>
            <w:tcW w:w="3500" w:type="dxa"/>
            <w:shd w:val="clear" w:fill="DDEAF5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b/>
                <w:color w:val="1D2630"/>
                <w:sz w:val="19"/>
                <w:szCs w:val="19"/>
              </w:rPr>
              <w:t xml:space="preserve">Опубликовано</w:t>
            </w:r>
          </w:p>
        </w:tc>
      </w:tr>
      <w:tr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Расход воздуха через дверь</w:t>
            </w:r>
          </w:p>
        </w:tc>
        <w:tc>
          <w:tcPr>
            <w:tcW w:w="35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4,6 кг/с</w:t>
            </w:r>
          </w:p>
        </w:tc>
      </w:tr>
      <w:tr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Удаление с этажа пожара</w:t>
            </w:r>
          </w:p>
        </w:tc>
        <w:tc>
          <w:tcPr>
            <w:tcW w:w="35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5,1 кг/с</w:t>
            </w:r>
          </w:p>
        </w:tc>
      </w:tr>
      <w:tr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Расход на оголовке</w:t>
            </w:r>
          </w:p>
        </w:tc>
        <w:tc>
          <w:tcPr>
            <w:tcW w:w="35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9,6 кг/с</w:t>
            </w:r>
          </w:p>
        </w:tc>
      </w:tr>
      <w:tr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Объёмный расход вентилятора</w:t>
            </w:r>
          </w:p>
        </w:tc>
        <w:tc>
          <w:tcPr>
            <w:tcW w:w="35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≈ 38 000 м³/ч</w:t>
            </w:r>
          </w:p>
        </w:tc>
      </w:tr>
      <w:tr>
        <w:tc>
          <w:tcPr>
            <w:tcW w:w="56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Требуемое давление вентилятора</w:t>
            </w:r>
          </w:p>
        </w:tc>
        <w:tc>
          <w:tcPr>
            <w:tcW w:w="35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916,2 Па</w:t>
            </w:r>
          </w:p>
        </w:tc>
      </w:tr>
    </w:tbl>
    <w:p>
      <w:pPr>
        <w:spacing w:before="0" w:after="70" w:line="276" w:lineRule="auto"/>
      </w:pPr>
      <w:r>
        <w:rPr>
          <w:rFonts w:ascii="isocpeur" w:hAnsi="isocpeur" w:cs="isocpeur"/>
          <w:color w:val="1D2630"/>
          <w:sz w:val="21"/>
          <w:szCs w:val="21"/>
        </w:rPr>
        <w:t xml:space="preserve"/>
      </w:r>
    </w:p>
    <w:p>
      <w:pPr>
        <w:pageBreakBefore/>
        <w:spacing w:before="120" w:after="170" w:line="276" w:lineRule="auto"/>
      </w:pPr>
      <w:r>
        <w:rPr>
          <w:rFonts w:ascii="isocpeur" w:hAnsi="isocpeur" w:cs="isocpeur"/>
          <w:b/>
          <w:color w:val="164B78"/>
          <w:sz w:val="29"/>
          <w:szCs w:val="29"/>
        </w:rPr>
        <w:t xml:space="preserve">2. Независимый пересчёт</w:t>
      </w:r>
    </w:p>
    <w:p>
      <w:pPr>
        <w:spacing w:before="80" w:after="120" w:line="276" w:lineRule="auto"/>
      </w:pPr>
      <w:r>
        <w:rPr>
          <w:rFonts w:ascii="isocpeur" w:hAnsi="isocpeur" w:cs="isocpeur"/>
          <w:b/>
          <w:color w:val="1D2630"/>
          <w:sz w:val="24"/>
          <w:szCs w:val="24"/>
        </w:rPr>
        <w:t xml:space="preserve">2.1. Расход через дверной проём</w:t>
      </w:r>
    </w:p>
    <w:p>
      <w:pPr>
        <w:jc w:val="center"/>
        <w:spacing w:before="80" w:after="100"/>
      </w:pPr>
      <m:oMath>
        <m:r>
          <m:rPr>
            <m:sty m:val="p"/>
          </m:rPr>
          <m:t>Gп = ρ · H · B · v = 1,29 · 2 · 0,85 · 2,1 = 4,6053 кг/с</m:t>
        </m:r>
      </m:oMath>
    </w:p>
    <w:p>
      <w:pPr>
        <w:spacing w:before="0" w:after="110" w:line="276" w:lineRule="auto"/>
      </w:pPr>
      <w:r>
        <w:rPr>
          <w:rFonts w:ascii="isocpeur" w:hAnsi="isocpeur" w:cs="isocpeur"/>
          <w:color w:val="1D2630"/>
          <w:sz w:val="21"/>
          <w:szCs w:val="21"/>
        </w:rPr>
        <w:t xml:space="preserve">Опубликованный результат 4,6 кг/с получен округлением до одного десятичного знака.</w:t>
      </w:r>
    </w:p>
    <w:p>
      <w:pPr>
        <w:spacing w:before="80" w:after="120" w:line="276" w:lineRule="auto"/>
      </w:pPr>
      <w:r>
        <w:rPr>
          <w:rFonts w:ascii="isocpeur" w:hAnsi="isocpeur" w:cs="isocpeur"/>
          <w:b/>
          <w:color w:val="1D2630"/>
          <w:sz w:val="24"/>
          <w:szCs w:val="24"/>
        </w:rPr>
        <w:t xml:space="preserve">2.2. Расход продуктов горения с этажа пожара</w:t>
      </w:r>
    </w:p>
    <w:p>
      <w:pPr>
        <w:jc w:val="center"/>
        <w:spacing w:before="80" w:after="100"/>
      </w:pPr>
      <m:oMath>
        <m:r>
          <m:rPr>
            <m:sty m:val="p"/>
          </m:rPr>
          <m:t>Gд = 1,1 · Gп = 1,1 · 4,6 = 5,06 ≈ 5,1 кг/с</m:t>
        </m:r>
      </m:oMath>
    </w:p>
    <w:p>
      <w:pPr>
        <w:spacing w:before="80" w:after="120" w:line="276" w:lineRule="auto"/>
      </w:pPr>
      <w:r>
        <w:rPr>
          <w:rFonts w:ascii="isocpeur" w:hAnsi="isocpeur" w:cs="isocpeur"/>
          <w:b/>
          <w:color w:val="1D2630"/>
          <w:sz w:val="24"/>
          <w:szCs w:val="24"/>
        </w:rPr>
        <w:t xml:space="preserve">2.3. Расход на оголовке шахты</w:t>
      </w:r>
    </w:p>
    <w:p>
      <w:pPr>
        <w:jc w:val="center"/>
        <w:spacing w:before="80" w:after="100"/>
      </w:pPr>
      <m:oMath>
        <m:r>
          <m:rPr>
            <m:sty m:val="p"/>
          </m:rPr>
          <m:t>Gош = Gд + (N − 1) · 0,3 = 5,1 + 15 · 0,3 = 9,6 кг/с</m:t>
        </m:r>
      </m:oMath>
    </w:p>
    <w:p>
      <w:pPr>
        <w:spacing w:before="80" w:after="120" w:line="276" w:lineRule="auto"/>
      </w:pPr>
      <w:r>
        <w:rPr>
          <w:rFonts w:ascii="isocpeur" w:hAnsi="isocpeur" w:cs="isocpeur"/>
          <w:b/>
          <w:color w:val="1D2630"/>
          <w:sz w:val="24"/>
          <w:szCs w:val="24"/>
        </w:rPr>
        <w:t xml:space="preserve">2.4. Объёмный расход</w:t>
      </w:r>
    </w:p>
    <w:p>
      <w:pPr>
        <w:jc w:val="center"/>
        <w:spacing w:before="80" w:after="100"/>
      </w:pPr>
      <m:oMath>
        <m:r>
          <m:rPr>
            <m:sty m:val="p"/>
          </m:rPr>
          <m:t>L = 3600 · Gош / ρс = 3600 · 9,6 / 0,91 = 37 978 м³/ч ≈ 38 000 м³/ч</m:t>
        </m:r>
      </m:oMath>
    </w:p>
    <w:tbl>
      <w:tblPr>
        <w:tblW w:w="0" w:type="auto"/>
        <w:tblBorders>
          <w:top w:val="single" w:sz="4" w:space="0" w:color="7F8790"/>
          <w:left w:val="single" w:sz="4" w:space="0" w:color="7F8790"/>
          <w:bottom w:val="single" w:sz="4" w:space="0" w:color="7F8790"/>
          <w:right w:val="single" w:sz="4" w:space="0" w:color="7F8790"/>
          <w:insideH w:val="single" w:sz="4" w:space="0" w:color="7F8790"/>
          <w:insideV w:val="single" w:sz="4" w:space="0" w:color="7F8790"/>
        </w:tblBorders>
        <w:tblLayout w:type="fixed"/>
      </w:tblPr>
      <w:tblGrid>
        <w:gridCol w:w="1700"/>
        <w:gridCol w:w="1900"/>
        <w:gridCol w:w="1900"/>
        <w:gridCol w:w="1500"/>
        <w:gridCol w:w="1700"/>
      </w:tblGrid>
      <w:tr>
        <w:tc>
          <w:tcPr>
            <w:tcW w:w="1700" w:type="dxa"/>
            <w:shd w:val="clear" w:fill="DDEAF5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b/>
                <w:color w:val="1D2630"/>
                <w:sz w:val="19"/>
                <w:szCs w:val="19"/>
              </w:rPr>
              <w:t xml:space="preserve">Проверка</w:t>
            </w:r>
          </w:p>
        </w:tc>
        <w:tc>
          <w:tcPr>
            <w:tcW w:w="1900" w:type="dxa"/>
            <w:shd w:val="clear" w:fill="DDEAF5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b/>
                <w:color w:val="1D2630"/>
                <w:sz w:val="19"/>
                <w:szCs w:val="19"/>
              </w:rPr>
              <w:t xml:space="preserve">Расчёт</w:t>
            </w:r>
          </w:p>
        </w:tc>
        <w:tc>
          <w:tcPr>
            <w:tcW w:w="1900" w:type="dxa"/>
            <w:shd w:val="clear" w:fill="DDEAF5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b/>
                <w:color w:val="1D2630"/>
                <w:sz w:val="19"/>
                <w:szCs w:val="19"/>
              </w:rPr>
              <w:t xml:space="preserve">Публикация</w:t>
            </w:r>
          </w:p>
        </w:tc>
        <w:tc>
          <w:tcPr>
            <w:tcW w:w="1500" w:type="dxa"/>
            <w:shd w:val="clear" w:fill="DDEAF5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b/>
                <w:color w:val="1D2630"/>
                <w:sz w:val="19"/>
                <w:szCs w:val="19"/>
              </w:rPr>
              <w:t xml:space="preserve">Отклонение</w:t>
            </w:r>
          </w:p>
        </w:tc>
        <w:tc>
          <w:tcPr>
            <w:tcW w:w="1700" w:type="dxa"/>
            <w:shd w:val="clear" w:fill="DDEAF5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b/>
                <w:color w:val="1D2630"/>
                <w:sz w:val="19"/>
                <w:szCs w:val="19"/>
              </w:rPr>
              <w:t xml:space="preserve">Статус</w:t>
            </w:r>
          </w:p>
        </w:tc>
      </w:tr>
      <w:tr>
        <w:tc>
          <w:tcPr>
            <w:tcW w:w="17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Gп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4.6053 кг/с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4,6 кг/с</w:t>
            </w:r>
          </w:p>
        </w:tc>
        <w:tc>
          <w:tcPr>
            <w:tcW w:w="15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0,115 %</w:t>
            </w:r>
          </w:p>
        </w:tc>
        <w:tc>
          <w:tcPr>
            <w:tcW w:w="17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67A52"/>
                <w:sz w:val="19"/>
                <w:szCs w:val="19"/>
              </w:rPr>
              <w:t xml:space="preserve">ПРОЙДЕНО</w:t>
            </w:r>
          </w:p>
        </w:tc>
      </w:tr>
      <w:tr>
        <w:tc>
          <w:tcPr>
            <w:tcW w:w="17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Gд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5.060 кг/с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5,1 кг/с</w:t>
            </w:r>
          </w:p>
        </w:tc>
        <w:tc>
          <w:tcPr>
            <w:tcW w:w="15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0,784 %</w:t>
            </w:r>
          </w:p>
        </w:tc>
        <w:tc>
          <w:tcPr>
            <w:tcW w:w="17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67A52"/>
                <w:sz w:val="19"/>
                <w:szCs w:val="19"/>
              </w:rPr>
              <w:t xml:space="preserve">ПРОЙДЕНО</w:t>
            </w:r>
          </w:p>
        </w:tc>
      </w:tr>
      <w:tr>
        <w:tc>
          <w:tcPr>
            <w:tcW w:w="17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Gош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9.600 кг/с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9,6 кг/с</w:t>
            </w:r>
          </w:p>
        </w:tc>
        <w:tc>
          <w:tcPr>
            <w:tcW w:w="15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0,000 %</w:t>
            </w:r>
          </w:p>
        </w:tc>
        <w:tc>
          <w:tcPr>
            <w:tcW w:w="17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67A52"/>
                <w:sz w:val="19"/>
                <w:szCs w:val="19"/>
              </w:rPr>
              <w:t xml:space="preserve">ПРОЙДЕНО</w:t>
            </w:r>
          </w:p>
        </w:tc>
      </w:tr>
      <w:tr>
        <w:tc>
          <w:tcPr>
            <w:tcW w:w="17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L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37978 м³/ч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38 000 м³/ч</w:t>
            </w:r>
          </w:p>
        </w:tc>
        <w:tc>
          <w:tcPr>
            <w:tcW w:w="15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0,058 %</w:t>
            </w:r>
          </w:p>
        </w:tc>
        <w:tc>
          <w:tcPr>
            <w:tcW w:w="17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67A52"/>
                <w:sz w:val="19"/>
                <w:szCs w:val="19"/>
              </w:rPr>
              <w:t xml:space="preserve">ПРОЙДЕНО</w:t>
            </w:r>
          </w:p>
        </w:tc>
      </w:tr>
    </w:tbl>
    <w:p>
      <w:pPr>
        <w:spacing w:before="0" w:after="70" w:line="276" w:lineRule="auto"/>
      </w:pPr>
      <w:r>
        <w:rPr>
          <w:rFonts w:ascii="isocpeur" w:hAnsi="isocpeur" w:cs="isocpeur"/>
          <w:color w:val="1D2630"/>
          <w:sz w:val="21"/>
          <w:szCs w:val="21"/>
        </w:rPr>
        <w:t xml:space="preserve"/>
      </w:r>
    </w:p>
    <w:p>
      <w:pPr>
        <w:spacing w:before="0" w:after="110" w:line="276" w:lineRule="auto"/>
      </w:pPr>
      <w:r>
        <w:rPr>
          <w:rFonts w:ascii="isocpeur" w:hAnsi="isocpeur" w:cs="isocpeur"/>
          <w:color w:val="1D2630"/>
          <w:sz w:val="21"/>
          <w:szCs w:val="21"/>
        </w:rPr>
        <w:t xml:space="preserve">Критерий: совпадение с учётом точности округления опубликованного текста; для приведённых величин принято относительное отклонение не более 1 %.</w:t>
      </w:r>
    </w:p>
    <w:p>
      <w:pPr>
        <w:pageBreakBefore/>
        <w:spacing w:before="120" w:after="170" w:line="276" w:lineRule="auto"/>
      </w:pPr>
      <w:r>
        <w:rPr>
          <w:rFonts w:ascii="isocpeur" w:hAnsi="isocpeur" w:cs="isocpeur"/>
          <w:b/>
          <w:color w:val="164B78"/>
          <w:sz w:val="29"/>
          <w:szCs w:val="29"/>
        </w:rPr>
        <w:t xml:space="preserve">3. Проверки современной реализации</w:t>
      </w:r>
    </w:p>
    <w:p>
      <w:pPr>
        <w:spacing w:before="0" w:after="110" w:line="276" w:lineRule="auto"/>
      </w:pPr>
      <w:r>
        <w:rPr>
          <w:rFonts w:ascii="isocpeur" w:hAnsi="isocpeur" w:cs="isocpeur"/>
          <w:color w:val="1D2630"/>
          <w:sz w:val="21"/>
          <w:szCs w:val="21"/>
        </w:rPr>
        <w:t xml:space="preserve">Следующие проверки относятся к формулам, непосредственно реализованным в текущем сервисе по методическим рекомендациям к СП 7.13130.2013.</w:t>
      </w:r>
    </w:p>
    <w:p>
      <w:pPr>
        <w:spacing w:before="80" w:after="120" w:line="276" w:lineRule="auto"/>
      </w:pPr>
      <w:r>
        <w:rPr>
          <w:rFonts w:ascii="isocpeur" w:hAnsi="isocpeur" w:cs="isocpeur"/>
          <w:b/>
          <w:color w:val="1D2630"/>
          <w:sz w:val="24"/>
          <w:szCs w:val="24"/>
        </w:rPr>
        <w:t xml:space="preserve">3.1. Связанная компенсационная система</w:t>
      </w:r>
    </w:p>
    <w:p>
      <w:pPr>
        <w:jc w:val="center"/>
        <w:spacing w:before="80" w:after="100"/>
      </w:pPr>
      <m:oMath>
        <m:r>
          <m:rPr>
            <m:sty m:val="p"/>
          </m:rPr>
          <m:t>Ga = Gsm / (1 − n)</m:t>
        </m:r>
      </m:oMath>
    </w:p>
    <w:p>
      <w:pPr>
        <w:spacing w:before="0" w:after="110" w:line="276" w:lineRule="auto"/>
      </w:pPr>
      <w:r>
        <w:rPr>
          <w:rFonts w:ascii="isocpeur" w:hAnsi="isocpeur" w:cs="isocpeur"/>
          <w:color w:val="1D2630"/>
          <w:sz w:val="21"/>
          <w:szCs w:val="21"/>
        </w:rPr>
        <w:t xml:space="preserve">При Gsm = 9,6 кг/с и n = 0 сервис должен получить Ga = 9,6 кг/с. При tн = −30 °C: ρa = 353/(273,15−30) = 1,4518 кг/м³; La = 3600·Ga/ρa = 23805 м³/ч.</w:t>
      </w:r>
    </w:p>
    <w:tbl>
      <w:tblPr>
        <w:tblW w:w="0" w:type="auto"/>
        <w:tblBorders>
          <w:top w:val="single" w:sz="4" w:space="0" w:color="7F8790"/>
          <w:left w:val="single" w:sz="4" w:space="0" w:color="7F8790"/>
          <w:bottom w:val="single" w:sz="4" w:space="0" w:color="7F8790"/>
          <w:right w:val="single" w:sz="4" w:space="0" w:color="7F8790"/>
          <w:insideH w:val="single" w:sz="4" w:space="0" w:color="7F8790"/>
          <w:insideV w:val="single" w:sz="4" w:space="0" w:color="7F8790"/>
        </w:tblBorders>
        <w:tblLayout w:type="fixed"/>
      </w:tblPr>
      <w:tblGrid>
        <w:gridCol w:w="2700"/>
        <w:gridCol w:w="4500"/>
        <w:gridCol w:w="1900"/>
      </w:tblGrid>
      <w:tr>
        <w:tc>
          <w:tcPr>
            <w:tcW w:w="2700" w:type="dxa"/>
            <w:shd w:val="clear" w:fill="DDEAF5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b/>
                <w:color w:val="1D2630"/>
                <w:sz w:val="19"/>
                <w:szCs w:val="19"/>
              </w:rPr>
              <w:t xml:space="preserve">Инвариант</w:t>
            </w:r>
          </w:p>
        </w:tc>
        <w:tc>
          <w:tcPr>
            <w:tcW w:w="4500" w:type="dxa"/>
            <w:shd w:val="clear" w:fill="DDEAF5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b/>
                <w:color w:val="1D2630"/>
                <w:sz w:val="19"/>
                <w:szCs w:val="19"/>
              </w:rPr>
              <w:t xml:space="preserve">Ожидаемое поведение</w:t>
            </w:r>
          </w:p>
        </w:tc>
        <w:tc>
          <w:tcPr>
            <w:tcW w:w="1900" w:type="dxa"/>
            <w:shd w:val="clear" w:fill="DDEAF5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b/>
                <w:color w:val="1D2630"/>
                <w:sz w:val="19"/>
                <w:szCs w:val="19"/>
              </w:rPr>
              <w:t xml:space="preserve">Статус</w:t>
            </w:r>
          </w:p>
        </w:tc>
      </w:tr>
      <w:tr>
        <w:tc>
          <w:tcPr>
            <w:tcW w:w="27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Связь смотрит назад</w:t>
            </w:r>
          </w:p>
        </w:tc>
        <w:tc>
          <w:tcPr>
            <w:tcW w:w="45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Доступны только ранее созданные вытяжные системы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67A52"/>
                <w:sz w:val="19"/>
                <w:szCs w:val="19"/>
              </w:rPr>
              <w:t xml:space="preserve">ПРОЙДЕНО</w:t>
            </w:r>
          </w:p>
        </w:tc>
      </w:tr>
      <w:tr>
        <w:tc>
          <w:tcPr>
            <w:tcW w:w="27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Автоперенос</w:t>
            </w:r>
          </w:p>
        </w:tc>
        <w:tc>
          <w:tcPr>
            <w:tcW w:w="45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Gsm источника недоступен для ручного редактирования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67A52"/>
                <w:sz w:val="19"/>
                <w:szCs w:val="19"/>
              </w:rPr>
              <w:t xml:space="preserve">ПРОЙДЕНО</w:t>
            </w:r>
          </w:p>
        </w:tc>
      </w:tr>
      <w:tr>
        <w:tc>
          <w:tcPr>
            <w:tcW w:w="27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Нулевой дисбаланс</w:t>
            </w:r>
          </w:p>
        </w:tc>
        <w:tc>
          <w:tcPr>
            <w:tcW w:w="45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Ga = Gsm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67A52"/>
                <w:sz w:val="19"/>
                <w:szCs w:val="19"/>
              </w:rPr>
              <w:t xml:space="preserve">ПРОЙДЕНО</w:t>
            </w:r>
          </w:p>
        </w:tc>
      </w:tr>
      <w:tr>
        <w:tc>
          <w:tcPr>
            <w:tcW w:w="27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Переход к объёму</w:t>
            </w:r>
          </w:p>
        </w:tc>
        <w:tc>
          <w:tcPr>
            <w:tcW w:w="45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La = 3600·Ga/ρa</w:t>
            </w:r>
          </w:p>
        </w:tc>
        <w:tc>
          <w:tcPr>
            <w:tcW w:w="19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67A52"/>
                <w:sz w:val="19"/>
                <w:szCs w:val="19"/>
              </w:rPr>
              <w:t xml:space="preserve">ПРОЙДЕНО</w:t>
            </w:r>
          </w:p>
        </w:tc>
      </w:tr>
    </w:tbl>
    <w:p>
      <w:pPr>
        <w:spacing w:before="0" w:after="70" w:line="276" w:lineRule="auto"/>
      </w:pPr>
      <w:r>
        <w:rPr>
          <w:rFonts w:ascii="isocpeur" w:hAnsi="isocpeur" w:cs="isocpeur"/>
          <w:color w:val="1D2630"/>
          <w:sz w:val="21"/>
          <w:szCs w:val="21"/>
        </w:rPr>
        <w:t xml:space="preserve"/>
      </w:r>
    </w:p>
    <w:p>
      <w:pPr>
        <w:spacing w:before="80" w:after="120" w:line="276" w:lineRule="auto"/>
      </w:pPr>
      <w:r>
        <w:rPr>
          <w:rFonts w:ascii="isocpeur" w:hAnsi="isocpeur" w:cs="isocpeur"/>
          <w:b/>
          <w:color w:val="1D2630"/>
          <w:sz w:val="24"/>
          <w:szCs w:val="24"/>
        </w:rPr>
        <w:t xml:space="preserve">3.2. Контроль единиц</w:t>
      </w:r>
    </w:p>
    <w:tbl>
      <w:tblPr>
        <w:tblW w:w="0" w:type="auto"/>
        <w:tblBorders>
          <w:top w:val="single" w:sz="4" w:space="0" w:color="7F8790"/>
          <w:left w:val="single" w:sz="4" w:space="0" w:color="7F8790"/>
          <w:bottom w:val="single" w:sz="4" w:space="0" w:color="7F8790"/>
          <w:right w:val="single" w:sz="4" w:space="0" w:color="7F8790"/>
          <w:insideH w:val="single" w:sz="4" w:space="0" w:color="7F8790"/>
          <w:insideV w:val="single" w:sz="4" w:space="0" w:color="7F8790"/>
        </w:tblBorders>
        <w:tblLayout w:type="fixed"/>
      </w:tblPr>
      <w:tblGrid>
        <w:gridCol w:w="2200"/>
        <w:gridCol w:w="2200"/>
        <w:gridCol w:w="2200"/>
        <w:gridCol w:w="2500"/>
      </w:tblGrid>
      <w:tr>
        <w:tc>
          <w:tcPr>
            <w:tcW w:w="2200" w:type="dxa"/>
            <w:shd w:val="clear" w:fill="DDEAF5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b/>
                <w:color w:val="1D2630"/>
                <w:sz w:val="19"/>
                <w:szCs w:val="19"/>
              </w:rPr>
              <w:t xml:space="preserve">Величина</w:t>
            </w:r>
          </w:p>
        </w:tc>
        <w:tc>
          <w:tcPr>
            <w:tcW w:w="2200" w:type="dxa"/>
            <w:shd w:val="clear" w:fill="DDEAF5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b/>
                <w:color w:val="1D2630"/>
                <w:sz w:val="19"/>
                <w:szCs w:val="19"/>
              </w:rPr>
              <w:t xml:space="preserve">Вход</w:t>
            </w:r>
          </w:p>
        </w:tc>
        <w:tc>
          <w:tcPr>
            <w:tcW w:w="2200" w:type="dxa"/>
            <w:shd w:val="clear" w:fill="DDEAF5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b/>
                <w:color w:val="1D2630"/>
                <w:sz w:val="19"/>
                <w:szCs w:val="19"/>
              </w:rPr>
              <w:t xml:space="preserve">Выход</w:t>
            </w:r>
          </w:p>
        </w:tc>
        <w:tc>
          <w:tcPr>
            <w:tcW w:w="2500" w:type="dxa"/>
            <w:shd w:val="clear" w:fill="DDEAF5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b/>
                <w:color w:val="1D2630"/>
                <w:sz w:val="19"/>
                <w:szCs w:val="19"/>
              </w:rPr>
              <w:t xml:space="preserve">Проверка</w:t>
            </w:r>
          </w:p>
        </w:tc>
      </w:tr>
      <w:tr>
        <w:tc>
          <w:tcPr>
            <w:tcW w:w="22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Температура</w:t>
            </w:r>
          </w:p>
        </w:tc>
        <w:tc>
          <w:tcPr>
            <w:tcW w:w="22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°C</w:t>
            </w:r>
          </w:p>
        </w:tc>
        <w:tc>
          <w:tcPr>
            <w:tcW w:w="22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K внутри расчёта</w:t>
            </w:r>
          </w:p>
        </w:tc>
        <w:tc>
          <w:tcPr>
            <w:tcW w:w="25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T = t + 273,15</w:t>
            </w:r>
          </w:p>
        </w:tc>
      </w:tr>
      <w:tr>
        <w:tc>
          <w:tcPr>
            <w:tcW w:w="22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Массовый расход</w:t>
            </w:r>
          </w:p>
        </w:tc>
        <w:tc>
          <w:tcPr>
            <w:tcW w:w="22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кг/с</w:t>
            </w:r>
          </w:p>
        </w:tc>
        <w:tc>
          <w:tcPr>
            <w:tcW w:w="22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кг/с</w:t>
            </w:r>
          </w:p>
        </w:tc>
        <w:tc>
          <w:tcPr>
            <w:tcW w:w="25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без скрытого множителя</w:t>
            </w:r>
          </w:p>
        </w:tc>
      </w:tr>
      <w:tr>
        <w:tc>
          <w:tcPr>
            <w:tcW w:w="22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Объёмный расход</w:t>
            </w:r>
          </w:p>
        </w:tc>
        <w:tc>
          <w:tcPr>
            <w:tcW w:w="22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кг/с и кг/м³</w:t>
            </w:r>
          </w:p>
        </w:tc>
        <w:tc>
          <w:tcPr>
            <w:tcW w:w="22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м³/ч</w:t>
            </w:r>
          </w:p>
        </w:tc>
        <w:tc>
          <w:tcPr>
            <w:tcW w:w="25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множитель 3600</w:t>
            </w:r>
          </w:p>
        </w:tc>
      </w:tr>
      <w:tr>
        <w:tc>
          <w:tcPr>
            <w:tcW w:w="22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Давление</w:t>
            </w:r>
          </w:p>
        </w:tc>
        <w:tc>
          <w:tcPr>
            <w:tcW w:w="22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Па</w:t>
            </w:r>
          </w:p>
        </w:tc>
        <w:tc>
          <w:tcPr>
            <w:tcW w:w="22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Па</w:t>
            </w:r>
          </w:p>
        </w:tc>
        <w:tc>
          <w:tcPr>
            <w:tcW w:w="25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единый масштаб</w:t>
            </w:r>
          </w:p>
        </w:tc>
      </w:tr>
    </w:tbl>
    <w:p>
      <w:pPr>
        <w:spacing w:before="0" w:after="70" w:line="276" w:lineRule="auto"/>
      </w:pPr>
      <w:r>
        <w:rPr>
          <w:rFonts w:ascii="isocpeur" w:hAnsi="isocpeur" w:cs="isocpeur"/>
          <w:color w:val="1D2630"/>
          <w:sz w:val="21"/>
          <w:szCs w:val="21"/>
        </w:rPr>
        <w:t xml:space="preserve"/>
      </w:r>
    </w:p>
    <w:p>
      <w:pPr>
        <w:pageBreakBefore/>
        <w:spacing w:before="120" w:after="170" w:line="276" w:lineRule="auto"/>
      </w:pPr>
      <w:r>
        <w:rPr>
          <w:rFonts w:ascii="isocpeur" w:hAnsi="isocpeur" w:cs="isocpeur"/>
          <w:b/>
          <w:color w:val="164B78"/>
          <w:sz w:val="29"/>
          <w:szCs w:val="29"/>
        </w:rPr>
        <w:t xml:space="preserve">4. Трассируемость и вывод</w:t>
      </w:r>
    </w:p>
    <w:tbl>
      <w:tblPr>
        <w:tblW w:w="0" w:type="auto"/>
        <w:tblBorders>
          <w:top w:val="single" w:sz="4" w:space="0" w:color="7F8790"/>
          <w:left w:val="single" w:sz="4" w:space="0" w:color="7F8790"/>
          <w:bottom w:val="single" w:sz="4" w:space="0" w:color="7F8790"/>
          <w:right w:val="single" w:sz="4" w:space="0" w:color="7F8790"/>
          <w:insideH w:val="single" w:sz="4" w:space="0" w:color="7F8790"/>
          <w:insideV w:val="single" w:sz="4" w:space="0" w:color="7F8790"/>
        </w:tblBorders>
        <w:tblLayout w:type="fixed"/>
      </w:tblPr>
      <w:tblGrid>
        <w:gridCol w:w="3000"/>
        <w:gridCol w:w="3100"/>
        <w:gridCol w:w="3000"/>
      </w:tblGrid>
      <w:tr>
        <w:tc>
          <w:tcPr>
            <w:tcW w:w="3000" w:type="dxa"/>
            <w:shd w:val="clear" w:fill="DDEAF5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b/>
                <w:color w:val="1D2630"/>
                <w:sz w:val="19"/>
                <w:szCs w:val="19"/>
              </w:rPr>
              <w:t xml:space="preserve">Объект контроля</w:t>
            </w:r>
          </w:p>
        </w:tc>
        <w:tc>
          <w:tcPr>
            <w:tcW w:w="3100" w:type="dxa"/>
            <w:shd w:val="clear" w:fill="DDEAF5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b/>
                <w:color w:val="1D2630"/>
                <w:sz w:val="19"/>
                <w:szCs w:val="19"/>
              </w:rPr>
              <w:t xml:space="preserve">Источник истины</w:t>
            </w:r>
          </w:p>
        </w:tc>
        <w:tc>
          <w:tcPr>
            <w:tcW w:w="3000" w:type="dxa"/>
            <w:shd w:val="clear" w:fill="DDEAF5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b/>
                <w:color w:val="1D2630"/>
                <w:sz w:val="19"/>
                <w:szCs w:val="19"/>
              </w:rPr>
              <w:t xml:space="preserve">Как проверяется</w:t>
            </w:r>
          </w:p>
        </w:tc>
      </w:tr>
      <w:tr>
        <w:tc>
          <w:tcPr>
            <w:tcW w:w="30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Расчётные формулы</w:t>
            </w:r>
          </w:p>
        </w:tc>
        <w:tc>
          <w:tcPr>
            <w:tcW w:w="31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lib/calc/smoke/engine.ts</w:t>
            </w:r>
          </w:p>
        </w:tc>
        <w:tc>
          <w:tcPr>
            <w:tcW w:w="30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Модульные тесты и таблица шагов</w:t>
            </w:r>
          </w:p>
        </w:tc>
      </w:tr>
      <w:tr>
        <w:tc>
          <w:tcPr>
            <w:tcW w:w="30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Связи систем</w:t>
            </w:r>
          </w:p>
        </w:tc>
        <w:tc>
          <w:tcPr>
            <w:tcW w:w="31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lib/calc/smoke/project-model.ts</w:t>
            </w:r>
          </w:p>
        </w:tc>
        <w:tc>
          <w:tcPr>
            <w:tcW w:w="30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Только предыдущая вытяжка; автоматический Gsm</w:t>
            </w:r>
          </w:p>
        </w:tc>
      </w:tr>
      <w:tr>
        <w:tc>
          <w:tcPr>
            <w:tcW w:w="30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Экранная методика</w:t>
            </w:r>
          </w:p>
        </w:tc>
        <w:tc>
          <w:tcPr>
            <w:tcW w:w="31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lib/calc/smoke/methodology.ts</w:t>
            </w:r>
          </w:p>
        </w:tc>
        <w:tc>
          <w:tcPr>
            <w:tcW w:w="30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Строится из текущих входов и результата</w:t>
            </w:r>
          </w:p>
        </w:tc>
      </w:tr>
      <w:tr>
        <w:tc>
          <w:tcPr>
            <w:tcW w:w="30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DOCX проекта</w:t>
            </w:r>
          </w:p>
        </w:tc>
        <w:tc>
          <w:tcPr>
            <w:tcW w:w="31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lib/calc/smoke/report.ts</w:t>
            </w:r>
          </w:p>
        </w:tc>
        <w:tc>
          <w:tcPr>
            <w:tcW w:w="30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Те же шаги; формулы в OMML</w:t>
            </w:r>
          </w:p>
        </w:tc>
      </w:tr>
      <w:tr>
        <w:tc>
          <w:tcPr>
            <w:tcW w:w="30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Проверочный документ</w:t>
            </w:r>
          </w:p>
        </w:tc>
        <w:tc>
          <w:tcPr>
            <w:tcW w:w="31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этот файл</w:t>
            </w:r>
          </w:p>
        </w:tc>
        <w:tc>
          <w:tcPr>
            <w:tcW w:w="300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r>
              <w:rPr>
                <w:rFonts w:ascii="isocpeur" w:hAnsi="isocpeur" w:cs="isocpeur"/>
                <w:color w:val="1D2630"/>
                <w:sz w:val="19"/>
                <w:szCs w:val="19"/>
              </w:rPr>
              <w:t xml:space="preserve">Статический, не зависит от ввода пользователя</w:t>
            </w:r>
          </w:p>
        </w:tc>
      </w:tr>
    </w:tbl>
    <w:p>
      <w:pPr>
        <w:spacing w:before="0" w:after="70" w:line="276" w:lineRule="auto"/>
      </w:pPr>
      <w:r>
        <w:rPr>
          <w:rFonts w:ascii="isocpeur" w:hAnsi="isocpeur" w:cs="isocpeur"/>
          <w:color w:val="1D2630"/>
          <w:sz w:val="21"/>
          <w:szCs w:val="21"/>
        </w:rPr>
        <w:t xml:space="preserve"/>
      </w:r>
    </w:p>
    <w:p>
      <w:pPr>
        <w:spacing w:before="80" w:after="120" w:line="276" w:lineRule="auto"/>
      </w:pPr>
      <w:r>
        <w:rPr>
          <w:rFonts w:ascii="isocpeur" w:hAnsi="isocpeur" w:cs="isocpeur"/>
          <w:b/>
          <w:color w:val="1D2630"/>
          <w:sz w:val="24"/>
          <w:szCs w:val="24"/>
        </w:rPr>
        <w:t xml:space="preserve">Вывод</w:t>
      </w:r>
    </w:p>
    <w:p>
      <w:pPr>
        <w:spacing w:before="0" w:after="110" w:line="276" w:lineRule="auto"/>
      </w:pPr>
      <w:r>
        <w:rPr>
          <w:rFonts w:ascii="isocpeur" w:hAnsi="isocpeur" w:cs="isocpeur"/>
          <w:color w:val="1D2630"/>
          <w:sz w:val="21"/>
          <w:szCs w:val="21"/>
        </w:rPr>
        <w:t xml:space="preserve">Опубликованная арифметика примера 1985 года воспроизводится в пределах точности его округления. Архитектура современной реализации обеспечивает однозначную передачу результата между связанными системами и использует единый источник шагов для интерфейса и отчёта.</w:t>
      </w:r>
    </w:p>
    <w:p>
      <w:pPr>
        <w:spacing w:before="0" w:after="110" w:line="276" w:lineRule="auto"/>
      </w:pPr>
      <w:r>
        <w:rPr>
          <w:rFonts w:ascii="isocpeur" w:hAnsi="isocpeur" w:cs="isocpeur"/>
          <w:b/>
          <w:color w:val="A62B2B"/>
          <w:sz w:val="21"/>
          <w:szCs w:val="21"/>
        </w:rPr>
        <w:t xml:space="preserve">Ограничение: прямое численное сравнение всей современной модели с изданием 1985 года некорректно из-за различий методик. Для приёмочной верификации каждого современного сценария нужен независимый отраслевой расчёт по тем же формулам редакции 2013 года либо официальное отдельное пособие с примерами.</w:t>
      </w:r>
    </w:p>
    <w:p>
      <w:pPr>
        <w:spacing w:before="80" w:after="120" w:line="276" w:lineRule="auto"/>
      </w:pPr>
      <w:r>
        <w:rPr>
          <w:rFonts w:ascii="isocpeur" w:hAnsi="isocpeur" w:cs="isocpeur"/>
          <w:b/>
          <w:color w:val="1D2630"/>
          <w:sz w:val="24"/>
          <w:szCs w:val="24"/>
        </w:rPr>
        <w:t xml:space="preserve">Публичные источники</w:t>
      </w:r>
    </w:p>
    <w:p>
      <w:pPr>
        <w:ind w:left="360" w:hanging="180"/>
        <w:spacing w:after="70"/>
      </w:pPr>
      <w:r>
        <w:rPr>
          <w:rFonts w:ascii="isocpeur" w:hAnsi="isocpeur" w:cs="isocpeur"/>
          <w:color w:val="1D2630"/>
          <w:sz w:val="21"/>
          <w:szCs w:val="21"/>
        </w:rPr>
        <w:t xml:space="preserve">• Методические рекомендации к СП 7.13130.2013 (ВНИИПО, 2013): https://files.stroyinf.ru/Data2/1/4293776/4293776355.pdf</w:t>
      </w:r>
    </w:p>
    <w:p>
      <w:pPr>
        <w:ind w:left="360" w:hanging="180"/>
        <w:spacing w:after="70"/>
      </w:pPr>
      <w:r>
        <w:rPr>
          <w:rFonts w:ascii="isocpeur" w:hAnsi="isocpeur" w:cs="isocpeur"/>
          <w:color w:val="1D2630"/>
          <w:sz w:val="21"/>
          <w:szCs w:val="21"/>
        </w:rPr>
        <w:t xml:space="preserve">• Опубликованные примеры 1985 года: https://files.stroyinf.ru/Data2/1/4293801/4293801332.pdf</w:t>
      </w:r>
    </w:p>
    <w:sectPr>
      <w:headerReference w:type="default" r:id="rId4"/>
      <w:footerReference w:type="default" r:id="rId5"/>
      <w:pgSz w:w="11906" w:h="16838"/>
      <w:pgMar w:top="1134" w:right="850" w:bottom="1134" w:left="1701" w:header="600" w:footer="600"/>
      <w:pgBorders w:offsetFrom="page">
        <w:top w:val="single" w:sz="8" w:space="24" w:color="164B78"/>
        <w:left w:val="single" w:sz="8" w:space="24" w:color="164B78"/>
        <w:bottom w:val="single" w:sz="8" w:space="24" w:color="164B78"/>
        <w:right w:val="single" w:sz="8" w:space="24" w:color="164B78"/>
      </w:pgBorders>
    </w:sectPr>
  </w:body>
</w:document>
</file>

<file path=word/fontTable.xml><?xml version="1.0" encoding="utf-8"?>
<w:fonts xmlns:w="http://schemas.openxmlformats.org/wordprocessingml/2006/main">
  <w:font w:name="isocpeur"/>
  <w:font w:name="Cambria Math"/>
</w:fonts>
</file>

<file path=word/footer1.xml><?xml version="1.0" encoding="utf-8"?>
<w:ftr xmlns:w="http://schemas.openxmlformats.org/wordprocessingml/2006/main">
  <w:p>
    <w:pPr>
      <w:jc w:val="right"/>
      <w:pBdr>
        <w:top w:val="single" w:sz="4" w:space="5" w:color="7F8790"/>
      </w:pBdr>
    </w:pPr>
    <w:r>
      <w:rPr>
        <w:rFonts w:ascii="isocpeur" w:hAnsi="isocpeur" w:cs="isocpeur"/>
        <w:color w:val="1D2630"/>
        <w:sz w:val="17"/>
        <w:szCs w:val="17"/>
      </w:rPr>
      <w:t xml:space="preserve">kuftyrev.tech · стр. </w:t>
    </w:r>
    <w:fldSimple w:instr="PAGE">
      <w:r>
        <w:t>1</w:t>
      </w:r>
    </w:fldSimple>
  </w:p>
</w:ftr>
</file>

<file path=word/header1.xml><?xml version="1.0" encoding="utf-8"?>
<w:hdr xmlns:w="http://schemas.openxmlformats.org/wordprocessingml/2006/main">
  <w:p>
    <w:pPr>
      <w:jc w:val="both"/>
      <w:pBdr>
        <w:bottom w:val="single" w:sz="8" w:space="5" w:color="164B78"/>
      </w:pBdr>
    </w:pPr>
    <w:r>
      <w:rPr>
        <w:rFonts w:ascii="isocpeur" w:hAnsi="isocpeur" w:cs="isocpeur"/>
        <w:b/>
        <w:color w:val="164B78"/>
        <w:sz w:val="18"/>
        <w:szCs w:val="18"/>
      </w:rPr>
      <w:t xml:space="preserve">ПРОВЕРОЧНЫЙ ДОКУМЕНТ · ПРОТИВОДЫМНАЯ ВЕНТИЛЯЦИЯ</w:t>
    </w:r>
  </w:p>
</w:hd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updateFields w:val="true"/>
</w:settings>
</file>

<file path=word/styles.xml><?xml version="1.0" encoding="utf-8"?>
<w:styles xmlns:w="http://schemas.openxmlformats.org/wordprocessingml/2006/main">
  <w:docDefaults>
    <w:rPrDefault>
      <w:rPr>
        <w:rFonts w:ascii="isocpeur" w:hAnsi="isocpeur" w:cs="isocpeur"/>
        <w:sz w:val="21"/>
        <w:szCs w:val="21"/>
        <w:lang w:val="ru-RU"/>
      </w:rPr>
    </w:rPrDefault>
    <w:pPrDefault>
      <w:pPr>
        <w:spacing w:after="11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header" Target="header1.xml"/><Relationship Id="rId5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Проверка сервиса противодымной вентиляции</dc:title>
  <dc:creator>kuftyrev.tech</dc:creator>
</cp:coreProperties>
</file>